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cs="Times New Roman"/>
          <w:sz w:val="44"/>
          <w:szCs w:val="44"/>
        </w:rPr>
      </w:pPr>
    </w:p>
    <w:p>
      <w:pPr>
        <w:pStyle w:val="2"/>
        <w:jc w:val="center"/>
        <w:rPr>
          <w:rFonts w:ascii="Times New Roman" w:hAnsi="Times New Roman" w:cs="Times New Roman"/>
          <w:sz w:val="44"/>
          <w:szCs w:val="44"/>
        </w:rPr>
      </w:pPr>
      <w:r>
        <w:rPr>
          <w:rFonts w:ascii="Times New Roman" w:hAnsi="Times New Roman" w:cs="Times New Roman"/>
          <w:sz w:val="44"/>
          <w:szCs w:val="44"/>
        </w:rPr>
        <w:t>国务院关于鼓励外商投资的规定</w:t>
      </w:r>
    </w:p>
    <w:p>
      <w:pPr>
        <w:pStyle w:val="2"/>
        <w:jc w:val="center"/>
        <w:rPr>
          <w:rFonts w:ascii="方正楷体_GBK" w:hAnsi="方正楷体_GBK" w:eastAsia="方正楷体_GBK" w:cs="方正楷体_GBK"/>
          <w:sz w:val="32"/>
          <w:szCs w:val="32"/>
        </w:rPr>
      </w:pPr>
    </w:p>
    <w:p>
      <w:pPr>
        <w:pStyle w:val="2"/>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1986</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日国务院发布　自发布之日</w:t>
      </w:r>
      <w:bookmarkStart w:id="0" w:name="_GoBack"/>
      <w:bookmarkEnd w:id="0"/>
      <w:r>
        <w:rPr>
          <w:rFonts w:hint="eastAsia" w:ascii="楷体_GB2312" w:hAnsi="楷体_GB2312" w:eastAsia="楷体_GB2312" w:cs="楷体_GB2312"/>
          <w:sz w:val="32"/>
          <w:szCs w:val="32"/>
        </w:rPr>
        <w:t>起施行）</w:t>
      </w:r>
    </w:p>
    <w:p>
      <w:pPr>
        <w:pStyle w:val="2"/>
        <w:ind w:firstLine="640" w:firstLineChars="200"/>
        <w:rPr>
          <w:rFonts w:ascii="方正楷体_GBK" w:hAnsi="方正楷体_GBK" w:eastAsia="方正楷体_GBK" w:cs="方正楷体_GBK"/>
          <w:sz w:val="32"/>
          <w:szCs w:val="32"/>
        </w:rPr>
      </w:pP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第一条　</w:t>
      </w:r>
      <w:r>
        <w:rPr>
          <w:rFonts w:hint="eastAsia" w:ascii="仿宋_GB2312" w:hAnsi="Times New Roman" w:eastAsia="仿宋_GB2312" w:cs="Times New Roman"/>
          <w:sz w:val="32"/>
          <w:szCs w:val="32"/>
        </w:rPr>
        <w:t>为了改善投资环境，更好地吸收外商投资，引进先进技术，提高产品质量，扩大出口创汇，发展国民经济，特制定本规定。</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第二条　</w:t>
      </w:r>
      <w:r>
        <w:rPr>
          <w:rFonts w:hint="eastAsia" w:ascii="仿宋_GB2312" w:hAnsi="Times New Roman" w:eastAsia="仿宋_GB2312" w:cs="Times New Roman"/>
          <w:sz w:val="32"/>
          <w:szCs w:val="32"/>
        </w:rPr>
        <w:t>国家鼓励外国的公司、企业和其他经济组织或者个人(以下简称外国投资者)，在中国境内举办中外合资经营企业、中外合作经营企业和外资企业(以下简称外商投资企业)。</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国家对下列外商投资企业给予特别优惠：</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一、产品主要用于出口，年度外汇总收入额减除年度生产经营外汇支出额和外国投资者汇出分得利润所需外汇额以后，外汇有结余的生产型企业(以下简称产品出口企业)；</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二、外国投资者提供先进技术，从事新产品开发，实现产品升级换代，以增加出口创汇或者替代进口的生产型企业(以下简称先进技术企业)。</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第三条　</w:t>
      </w:r>
      <w:r>
        <w:rPr>
          <w:rFonts w:hint="eastAsia" w:ascii="仿宋_GB2312" w:hAnsi="Times New Roman" w:eastAsia="仿宋_GB2312" w:cs="Times New Roman"/>
          <w:sz w:val="32"/>
          <w:szCs w:val="32"/>
        </w:rPr>
        <w:t>产品出口企业和先进技术企业，除按照国家规定支付或者提取中方职工劳动保险、福利费用和住房补助基金外，免缴国家对职工的各项补贴。</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第四条　</w:t>
      </w:r>
      <w:r>
        <w:rPr>
          <w:rFonts w:hint="eastAsia" w:ascii="仿宋_GB2312" w:hAnsi="Times New Roman" w:eastAsia="仿宋_GB2312" w:cs="Times New Roman"/>
          <w:sz w:val="32"/>
          <w:szCs w:val="32"/>
        </w:rPr>
        <w:t>产品出口企业和先进技术企业的场地使用费，除大城市市区繁华地段外，按下列标准计收：</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一、开发费和使用费综合计收的地区，为每年每平方米五元至二十元；</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二、开发费一次性计收或者上述企业自行开发场地的地区，使用费最高为每年每平方米三元。</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前款规定的费用，地方人民政府可以酌情在一定期限内免收。</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第五条　</w:t>
      </w:r>
      <w:r>
        <w:rPr>
          <w:rFonts w:hint="eastAsia" w:ascii="仿宋_GB2312" w:hAnsi="Times New Roman" w:eastAsia="仿宋_GB2312" w:cs="Times New Roman"/>
          <w:sz w:val="32"/>
          <w:szCs w:val="32"/>
        </w:rPr>
        <w:t>对产品出口企业和先进技术企业优先提供生产经营所需的水、电、运输条件和通信设施，按照当地国营企业收费标准计收费用。</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第六条　</w:t>
      </w:r>
      <w:r>
        <w:rPr>
          <w:rFonts w:hint="eastAsia" w:ascii="仿宋_GB2312" w:hAnsi="Times New Roman" w:eastAsia="仿宋_GB2312" w:cs="Times New Roman"/>
          <w:sz w:val="32"/>
          <w:szCs w:val="32"/>
        </w:rPr>
        <w:t>产品出口企业和先进技术企业在生产和流通过程中需要借贷的短期周转资金，以及其他必需的信贷资金，经中国银行审核后，优先贷放。</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第七条　</w:t>
      </w:r>
      <w:r>
        <w:rPr>
          <w:rFonts w:hint="eastAsia" w:ascii="仿宋_GB2312" w:hAnsi="Times New Roman" w:eastAsia="仿宋_GB2312" w:cs="Times New Roman"/>
          <w:sz w:val="32"/>
          <w:szCs w:val="32"/>
        </w:rPr>
        <w:t>产品出口企业和先进技术企业的外国投资者，将其从企业分得的利润汇出境外时，免缴汇出额的所得税。</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第八条　</w:t>
      </w:r>
      <w:r>
        <w:rPr>
          <w:rFonts w:hint="eastAsia" w:ascii="仿宋_GB2312" w:hAnsi="Times New Roman" w:eastAsia="仿宋_GB2312" w:cs="Times New Roman"/>
          <w:sz w:val="32"/>
          <w:szCs w:val="32"/>
        </w:rPr>
        <w:t>产品出口企业按照国家规定减免企业所得税期满后，凡当年企业出口产品产值达到当年企业产品产值70%以上的，可以按照现行税率减半缴纳企业所得税。</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经济特区和经济技术开发区的以及其他已经按15%的税率缴纳企业所得税的产品出口企业，符合前款条件的，减按10%的税率缴纳企业所得税。</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第九条　</w:t>
      </w:r>
      <w:r>
        <w:rPr>
          <w:rFonts w:hint="eastAsia" w:ascii="仿宋_GB2312" w:hAnsi="Times New Roman" w:eastAsia="仿宋_GB2312" w:cs="Times New Roman"/>
          <w:sz w:val="32"/>
          <w:szCs w:val="32"/>
        </w:rPr>
        <w:t>先进技术企业按照国家规定减免企业所得税期满后，可以延长三年减半缴纳企业所得税。</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第十条　</w:t>
      </w:r>
      <w:r>
        <w:rPr>
          <w:rFonts w:hint="eastAsia" w:ascii="仿宋_GB2312" w:hAnsi="Times New Roman" w:eastAsia="仿宋_GB2312" w:cs="Times New Roman"/>
          <w:sz w:val="32"/>
          <w:szCs w:val="32"/>
        </w:rPr>
        <w:t>外国投资者将其从企业分得的利润，在中国境内再投资举办、扩建产品出口企业或者先进技术企业，经营期不少于五年的，经申请税务机关核准，全部退还其再投资部分已缴纳的企业所得税税款。经营期不足五年撤出该项投资的，应当缴回已退的企业所得税税款。</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第十一条　</w:t>
      </w:r>
      <w:r>
        <w:rPr>
          <w:rFonts w:hint="eastAsia" w:ascii="仿宋_GB2312" w:hAnsi="Times New Roman" w:eastAsia="仿宋_GB2312" w:cs="Times New Roman"/>
          <w:sz w:val="32"/>
          <w:szCs w:val="32"/>
        </w:rPr>
        <w:t>对外商投资企业的出口产品，除原油、成品油和国家另有规定的产品外，免征工商统一税。</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第十二条　</w:t>
      </w:r>
      <w:r>
        <w:rPr>
          <w:rFonts w:hint="eastAsia" w:ascii="仿宋_GB2312" w:hAnsi="Times New Roman" w:eastAsia="仿宋_GB2312" w:cs="Times New Roman"/>
          <w:sz w:val="32"/>
          <w:szCs w:val="32"/>
        </w:rPr>
        <w:t>外商投资企业可以自行组织其产品出口，也可以按照国家规定委托代理出口。属于需要申领出口许可证的产品，按照企业年度出口计划，每半年申领一次许可证。</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第十三条　</w:t>
      </w:r>
      <w:r>
        <w:rPr>
          <w:rFonts w:hint="eastAsia" w:ascii="仿宋_GB2312" w:hAnsi="Times New Roman" w:eastAsia="仿宋_GB2312" w:cs="Times New Roman"/>
          <w:sz w:val="32"/>
          <w:szCs w:val="32"/>
        </w:rPr>
        <w:t>外商投资企业为履行其产品出口合同，需要进口(包括国家限制进口)的机械设备、生产用的车辆、原材料、燃料、散件、零部件、元器件、配套件，不再报请审批，免领进口许可证，由海关实行监管，凭企业合同或者进出口合同验放。</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前款所述进口料、件，只限于本企业自用，不得在国内市场出售；如用于内销产品，应当按照规定补办进口手续，并照章补税。</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第十四条　</w:t>
      </w:r>
      <w:r>
        <w:rPr>
          <w:rFonts w:hint="eastAsia" w:ascii="仿宋_GB2312" w:hAnsi="Times New Roman" w:eastAsia="仿宋_GB2312" w:cs="Times New Roman"/>
          <w:sz w:val="32"/>
          <w:szCs w:val="32"/>
        </w:rPr>
        <w:t>外商投资企业之间，在外汇管理部门监管下，可以相互调剂外汇余缺。</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中国银行以及经中国人民银行指定的其他银行，可以对外商投资企业开办现汇抵押业务，贷放人民币资金。</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第十五条　</w:t>
      </w:r>
      <w:r>
        <w:rPr>
          <w:rFonts w:hint="eastAsia" w:ascii="仿宋_GB2312" w:hAnsi="Times New Roman" w:eastAsia="仿宋_GB2312" w:cs="Times New Roman"/>
          <w:sz w:val="32"/>
          <w:szCs w:val="32"/>
        </w:rPr>
        <w:t>各级人民政府和有关主管部门应当保障外商投资企业的自主权，支持外商投资企业按照国际上先进的科学方法管理企业。</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外商投资企业有权在批准的合同范围内，自行制定生产经营计划，筹措、运用资金，采购生产资料，销售产品；自行确定工资标准、工资形式和奖励、津贴制度。</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外商投资企业可以根据生产经营需要，自行确定其机构设置和人员编制，聘用或者辞退高级经营管理人员，增加或者辞退职工；可以在当地招聘和招收技术人员、管理人员和工人，被录用人员所在单位应当给予支持，允许流动；对违反规章制度，造成一定后果的职工，可以根据情节轻重，给予不同处分，直至开除。外商投资企业招聘、招收、辞退或者开除职工，应当向当地劳动人事部门备案。</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第十六条　</w:t>
      </w:r>
      <w:r>
        <w:rPr>
          <w:rFonts w:hint="eastAsia" w:ascii="仿宋_GB2312" w:hAnsi="Times New Roman" w:eastAsia="仿宋_GB2312" w:cs="Times New Roman"/>
          <w:sz w:val="32"/>
          <w:szCs w:val="32"/>
        </w:rPr>
        <w:t>各地区、各部门必须执行《国务院关于坚决制止向企业乱摊派的通知》，由省级人民政府制定具体办法，加强监督管理。</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外商投资企业遇有不合理收费的情况可以拒交；也可以向当地经济委员会直到国家经济委员会申诉。</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第十七条　</w:t>
      </w:r>
      <w:r>
        <w:rPr>
          <w:rFonts w:hint="eastAsia" w:ascii="仿宋_GB2312" w:hAnsi="Times New Roman" w:eastAsia="仿宋_GB2312" w:cs="Times New Roman"/>
          <w:sz w:val="32"/>
          <w:szCs w:val="32"/>
        </w:rPr>
        <w:t>各级人民政府和有关主管部门，应当加强协调工作，提高办事效率，及时审批外商投资企业申报的需要批复和解决的事宜。由国务院主管部门审批的外商投资企业的协议、合同、章程，审批机关必须在收到全部文件之日起三个月以内决定批准或者不批准。</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第十八条　</w:t>
      </w:r>
      <w:r>
        <w:rPr>
          <w:rFonts w:hint="eastAsia" w:ascii="仿宋_GB2312" w:hAnsi="Times New Roman" w:eastAsia="仿宋_GB2312" w:cs="Times New Roman"/>
          <w:sz w:val="32"/>
          <w:szCs w:val="32"/>
        </w:rPr>
        <w:t>本规定所指产品出口企业和先进技术企业，由该企业所在地的对外经济贸易部门会同有关部门根据企业合同确认，并出具证明。</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产品出口企业的年度出口实绩，如果未能实现企业合同规定的外汇平衡有结余的目标，应当在下一年度内补缴上一年度已经减免的税、费。</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第十九条　</w:t>
      </w:r>
      <w:r>
        <w:rPr>
          <w:rFonts w:hint="eastAsia" w:ascii="仿宋_GB2312" w:hAnsi="Times New Roman" w:eastAsia="仿宋_GB2312" w:cs="Times New Roman"/>
          <w:sz w:val="32"/>
          <w:szCs w:val="32"/>
        </w:rPr>
        <w:t>本规定除明确规定适用于产品出口企业或者先进技术企业的条款外，其他条款适用于所有外商投资企业。</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本规定施行之日前获准举办的外商投资企业，凡符合本规定的优惠条件的，自施行之日起适用本规定。</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第二十条　</w:t>
      </w:r>
      <w:r>
        <w:rPr>
          <w:rFonts w:hint="eastAsia" w:ascii="仿宋_GB2312" w:hAnsi="Times New Roman" w:eastAsia="仿宋_GB2312" w:cs="Times New Roman"/>
          <w:sz w:val="32"/>
          <w:szCs w:val="32"/>
        </w:rPr>
        <w:t>香港、澳门、台湾的公司、企业和其他经济组织或者个人投资举办的企业，参照本规定执行。</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第二十一条　</w:t>
      </w:r>
      <w:r>
        <w:rPr>
          <w:rFonts w:hint="eastAsia" w:ascii="仿宋_GB2312" w:hAnsi="Times New Roman" w:eastAsia="仿宋_GB2312" w:cs="Times New Roman"/>
          <w:sz w:val="32"/>
          <w:szCs w:val="32"/>
        </w:rPr>
        <w:t>本规定由对外经济贸易部负责解释。</w:t>
      </w:r>
    </w:p>
    <w:p>
      <w:pPr>
        <w:ind w:firstLine="640" w:firstLineChars="200"/>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本规定自发布之日起施行。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楷体_GBK">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- 3 -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41C3295"/>
    <w:rsid w:val="000364EA"/>
    <w:rsid w:val="00084AC3"/>
    <w:rsid w:val="001E7052"/>
    <w:rsid w:val="004C67A7"/>
    <w:rsid w:val="00B7360F"/>
    <w:rsid w:val="00DA05C9"/>
    <w:rsid w:val="042C5C13"/>
    <w:rsid w:val="30FC472C"/>
    <w:rsid w:val="47C12A6F"/>
    <w:rsid w:val="4DAE4E16"/>
    <w:rsid w:val="60421959"/>
    <w:rsid w:val="62071EEE"/>
    <w:rsid w:val="741C32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336</Words>
  <Characters>1920</Characters>
  <Lines>16</Lines>
  <Paragraphs>4</Paragraphs>
  <TotalTime>2</TotalTime>
  <ScaleCrop>false</ScaleCrop>
  <LinksUpToDate>false</LinksUpToDate>
  <CharactersWithSpaces>2252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2019-05-22T15:53:00Z</dcterms:created>
  <dc:creator>Administrator</dc:creator>
  <cp:lastModifiedBy>范杰</cp:lastModifiedBy>
  <cp:lastPrinted>2019-05-25T09:27:00Z</cp:lastPrinted>
  <dcterms:modified xsi:type="dcterms:W3CDTF">2019-07-31T10:27:54Z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